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AC096329EC554F4E941428A22F65981A" ma:contentTypeVersion="34" ma:contentTypeDescription="" ma:contentTypeScope="" ma:versionID="4b0a982966f17487c87deb41dc581c94">
  <xsd:schema xmlns:xsd="http://www.w3.org/2001/XMLSchema" xmlns:xs="http://www.w3.org/2001/XMLSchema" xmlns:p="http://schemas.microsoft.com/office/2006/metadata/properties" xmlns:ns1="efb9c7a9-fb7a-49d0-ad5d-64d3cce8bf9e" xmlns:ns3="e98d7501-42e4-4a2d-b641-b529e1ab1d6e" xmlns:ns4="fa87e474-2c2a-4570-a952-e5d0e470b777" targetNamespace="http://schemas.microsoft.com/office/2006/metadata/properties" ma:root="true" ma:fieldsID="64cfae03f359484da4ea6ebee37e0a6c" ns1:_="" ns3:_="" ns4:_="">
    <xsd:import namespace="efb9c7a9-fb7a-49d0-ad5d-64d3cce8bf9e"/>
    <xsd:import namespace="e98d7501-42e4-4a2d-b641-b529e1ab1d6e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Kod" minOccurs="0"/>
                <xsd:element ref="ns1:Typ_DSZ"/>
                <xsd:element ref="ns1:Wsprawie" minOccurs="0"/>
                <xsd:element ref="ns1:Symbol_x0020_KO" minOccurs="0"/>
                <xsd:element ref="ns1:Jednostka_x0020_Organizacyjna"/>
                <xsd:element ref="ns3:DataDokumentu"/>
                <xsd:element ref="ns4:ObszarCompliance" minOccurs="0"/>
                <xsd:element ref="ns1:Sygnatura"/>
                <xsd:element ref="ns1:Dodatkowe_x0020_informacje" minOccurs="0"/>
                <xsd:element ref="ns1:Dokumenty_x0020_powiązane" minOccurs="0"/>
                <xsd:element ref="ns1:Uwagi" minOccurs="0"/>
                <xsd:element ref="ns1:Jednostka_x0020_Organizacyjna_x003a_Nazwa" minOccurs="0"/>
                <xsd:element ref="ns4:Rodzaj" minOccurs="0"/>
                <xsd:element ref="ns4:DataWycofa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Kod" ma:index="0" nillable="true" ma:displayName="Kod" ma:hidden="true" ma:internalName="Kod" ma:readOnly="false">
      <xsd:simpleType>
        <xsd:restriction base="dms:Text">
          <xsd:maxLength value="255"/>
        </xsd:restriction>
      </xsd:simpleType>
    </xsd:element>
    <xsd:element name="Typ_DSZ" ma:index="1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Wsprawie" ma:index="4" nillable="true" ma:displayName="W sprawie" ma:hidden="true" ma:internalName="W_x0020_sprawie" ma:readOnly="false">
      <xsd:simpleType>
        <xsd:restriction base="dms:Note"/>
      </xsd:simpleType>
    </xsd:element>
    <xsd:element name="Symbol_x0020_KO" ma:index="5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Jednostka_x0020_Organizacyjna" ma:index="6" ma:displayName="Obowiązuje w JO" ma:list="{48a272cb-17b3-45e5-b7d8-dcaa6cb64902}" ma:internalName="Jednostka_x0020_Organizacyjna" ma:showField="Title" ma:web="efb9c7a9-fb7a-49d0-ad5d-64d3cce8bf9e">
      <xsd:simpleType>
        <xsd:restriction base="dms:Lookup"/>
      </xsd:simpleType>
    </xsd:element>
    <xsd:element name="Sygnatura" ma:index="9" ma:displayName="Proces" ma:internalName="Sygnatura">
      <xsd:simpleType>
        <xsd:restriction base="dms:Text">
          <xsd:maxLength value="255"/>
        </xsd:restriction>
      </xsd:simpleType>
    </xsd:element>
    <xsd:element name="Dodatkowe_x0020_informacje" ma:index="10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1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2" nillable="true" ma:displayName="Uwagi" ma:hidden="true" ma:internalName="Uwagi" ma:readOnly="false">
      <xsd:simpleType>
        <xsd:restriction base="dms:Text">
          <xsd:maxLength value="255"/>
        </xsd:restriction>
      </xsd:simpleType>
    </xsd:element>
    <xsd:element name="Jednostka_x0020_Organizacyjna_x003a_Nazwa" ma:index="16" nillable="true" ma:displayName="Jednostka Organizacyjna:Nazwa" ma:list="{48a272cb-17b3-45e5-b7d8-dcaa6cb64902}" ma:internalName="Jednostka_x0020_Organizacyjna_x003A_Nazwa" ma:readOnly="true" ma:showField="Title" ma:web="efb9c7a9-fb7a-49d0-ad5d-64d3cce8bf9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7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ObszarCompliance" ma:index="8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  <xsd:element name="Rodzaj" ma:index="20" nillable="true" ma:displayName="Rodzaj" ma:format="Dropdown" ma:internalName="Rodzaj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  <xsd:element name="DataWycofania" ma:index="21" nillable="true" ma:displayName="Ważne do:" ma:format="DateOnly" ma:internalName="DataWycofan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datkowe_x0020_informacje xmlns="efb9c7a9-fb7a-49d0-ad5d-64d3cce8bf9e">DYST/CENT/IOD/3.8.2.1</Dodatkowe_x0020_informacje>
    <DataWycofania xmlns="fa87e474-2c2a-4570-a952-e5d0e470b777" xsi:nil="true"/>
    <Rodzaj xmlns="fa87e474-2c2a-4570-a952-e5d0e470b777">Procedura</Rodzaj>
    <ObszarCompliance xmlns="fa87e474-2c2a-4570-a952-e5d0e470b777">Zasady uczciwego biznesu GK PGE, w tym stosowanie postanowień Kodeksu etyki GK PGE</ObszarCompliance>
    <Typ_DSZ xmlns="efb9c7a9-fb7a-49d0-ad5d-64d3cce8bf9e">Obowiązujące DSZ</Typ_DSZ>
    <Sygnatura xmlns="efb9c7a9-fb7a-49d0-ad5d-64d3cce8bf9e">3.8.2.1</Sygnatura>
    <Symbol_x0020_KO xmlns="efb9c7a9-fb7a-49d0-ad5d-64d3cce8bf9e">IOD</Symbol_x0020_KO>
    <Uwagi xmlns="efb9c7a9-fb7a-49d0-ad5d-64d3cce8bf9e" xsi:nil="true"/>
    <DataDokumentu xmlns="e98d7501-42e4-4a2d-b641-b529e1ab1d6e">2025-07-31T22:00:00+00:00</DataDokumentu>
    <Kod xmlns="efb9c7a9-fb7a-49d0-ad5d-64d3cce8bf9e">PROC 30076/C</Kod>
    <Wsprawie xmlns="efb9c7a9-fb7a-49d0-ad5d-64d3cce8bf9e">&lt;div class="ExternalClassECC3634FF0724C1E9C0BF37AE20AC0D1"&gt;&lt;p&gt;​wypis 02-33-25&lt;/p&gt;&lt;/div&gt;</Wsprawie>
    <Dokumenty_x0020_powiązane xmlns="efb9c7a9-fb7a-49d0-ad5d-64d3cce8bf9e" xsi:nil="true"/>
    <Jednostka_x0020_Organizacyjna xmlns="efb9c7a9-fb7a-49d0-ad5d-64d3cce8bf9e">7</Jednostka_x0020_Organizacyjn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B5D7B-1114-4436-B019-AEF508159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98d7501-42e4-4a2d-b641-b529e1ab1d6e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0x01010085144689BBF74D41907F3E68B5BA8C9200AC096329EC554F4E941428A22F65981A</vt:lpwstr>
  </property>
</Properties>
</file>